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BOARD PROFILE WORKSHEET:  EXPERTISE/SKILLS/PERSONAL DATA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Prospective </w:t>
      </w:r>
    </w:p>
    <w:p>
      <w:pPr>
        <w:pStyle w:val="Normal.0"/>
        <w:ind w:left="1440" w:firstLine="0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>Board Members</w:t>
      </w:r>
    </w:p>
    <w:tbl>
      <w:tblPr>
        <w:tblW w:w="13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NAMES OF CURRENT BOD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19-34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35-50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51-65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Over 65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Gender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Male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Female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Race/Ethnic/Disability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African American/Black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Asian/Pacific Islander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Caucasian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Hispanic/Latino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Native American/Indian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Resources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Money to give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Access to money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Access to other resources (foundations, corporate) 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Availability for active participation (solicitation visits, grant writing)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Community Connections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Religious Organizations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Corporate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Education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Media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Political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Philanthropy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Small Business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Social Services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Qualities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Leadership Skills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Willingness to work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Personal connection with organization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s mission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Areas of Expertise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Administrative/Management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Board Development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Entrepreneurship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Financial Management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20" w:firstLine="0"/>
            </w:pPr>
            <w:r>
              <w:rPr>
                <w:shd w:val="nil" w:color="auto" w:fill="auto"/>
                <w:rtl w:val="0"/>
                <w:lang w:val="en-US"/>
              </w:rPr>
              <w:t>Accounting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20" w:firstLine="0"/>
            </w:pPr>
            <w:r>
              <w:rPr>
                <w:shd w:val="nil" w:color="auto" w:fill="auto"/>
                <w:rtl w:val="0"/>
                <w:lang w:val="en-US"/>
              </w:rPr>
              <w:t>Banking and trusts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720" w:firstLine="0"/>
            </w:pPr>
            <w:r>
              <w:rPr>
                <w:shd w:val="nil" w:color="auto" w:fill="auto"/>
                <w:rtl w:val="0"/>
                <w:lang w:val="en-US"/>
              </w:rPr>
              <w:t>Investments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Fundraising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Government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Law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Marketing, public relations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Human resources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Strategic planning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Representation of clients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Special Program focus (education, health, public policy, social services)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Technology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60" w:firstLine="0"/>
            </w:pPr>
            <w:r>
              <w:rPr>
                <w:shd w:val="nil" w:color="auto" w:fill="auto"/>
                <w:rtl w:val="0"/>
                <w:lang w:val="en-US"/>
              </w:rPr>
              <w:t>Other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Number of years on board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5840" w:h="12240" w:orient="landscape"/>
      <w:pgMar w:top="1440" w:right="1296" w:bottom="1440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